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D" w:rsidRDefault="00F065ED" w:rsidP="003E535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065ED" w:rsidRDefault="00F065ED" w:rsidP="003E535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82D3C" w:rsidRPr="00482D3C" w:rsidRDefault="00482D3C" w:rsidP="003E535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82D3C">
        <w:rPr>
          <w:rFonts w:ascii="Arial" w:hAnsi="Arial" w:cs="Arial"/>
          <w:b/>
          <w:i/>
          <w:sz w:val="32"/>
          <w:szCs w:val="32"/>
        </w:rPr>
        <w:t>Svazek obcí Rozvoj</w:t>
      </w:r>
    </w:p>
    <w:p w:rsidR="00482D3C" w:rsidRPr="00482D3C" w:rsidRDefault="00482D3C" w:rsidP="00482D3C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F065ED" w:rsidRPr="00482D3C" w:rsidRDefault="00F065ED" w:rsidP="00BC2164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3E5357" w:rsidRPr="00482D3C" w:rsidRDefault="00BA4479" w:rsidP="003E535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82D3C">
        <w:rPr>
          <w:rFonts w:ascii="Arial" w:hAnsi="Arial" w:cs="Arial"/>
          <w:b/>
          <w:i/>
          <w:sz w:val="32"/>
          <w:szCs w:val="32"/>
          <w:u w:val="single"/>
        </w:rPr>
        <w:t xml:space="preserve">NÁVRH </w:t>
      </w:r>
      <w:r w:rsidR="003E5357" w:rsidRPr="00482D3C">
        <w:rPr>
          <w:rFonts w:ascii="Arial" w:hAnsi="Arial" w:cs="Arial"/>
          <w:b/>
          <w:i/>
          <w:sz w:val="32"/>
          <w:szCs w:val="32"/>
          <w:u w:val="single"/>
        </w:rPr>
        <w:t>ZÁVĚREČN</w:t>
      </w:r>
      <w:r w:rsidRPr="00482D3C">
        <w:rPr>
          <w:rFonts w:ascii="Arial" w:hAnsi="Arial" w:cs="Arial"/>
          <w:b/>
          <w:i/>
          <w:sz w:val="32"/>
          <w:szCs w:val="32"/>
          <w:u w:val="single"/>
        </w:rPr>
        <w:t>ÉHO</w:t>
      </w:r>
      <w:r w:rsidR="003E5357" w:rsidRPr="00482D3C">
        <w:rPr>
          <w:rFonts w:ascii="Arial" w:hAnsi="Arial" w:cs="Arial"/>
          <w:b/>
          <w:i/>
          <w:sz w:val="32"/>
          <w:szCs w:val="32"/>
          <w:u w:val="single"/>
        </w:rPr>
        <w:t xml:space="preserve">  ÚČT</w:t>
      </w:r>
      <w:r w:rsidRPr="00482D3C">
        <w:rPr>
          <w:rFonts w:ascii="Arial" w:hAnsi="Arial" w:cs="Arial"/>
          <w:b/>
          <w:i/>
          <w:sz w:val="32"/>
          <w:szCs w:val="32"/>
          <w:u w:val="single"/>
        </w:rPr>
        <w:t>U</w:t>
      </w:r>
      <w:r w:rsidR="003E5357" w:rsidRPr="00482D3C">
        <w:rPr>
          <w:rFonts w:ascii="Arial" w:hAnsi="Arial" w:cs="Arial"/>
          <w:b/>
          <w:i/>
          <w:sz w:val="32"/>
          <w:szCs w:val="32"/>
          <w:u w:val="single"/>
        </w:rPr>
        <w:t xml:space="preserve">  ZA  ROK  20</w:t>
      </w:r>
      <w:r w:rsidR="005935F8" w:rsidRPr="00482D3C">
        <w:rPr>
          <w:rFonts w:ascii="Arial" w:hAnsi="Arial" w:cs="Arial"/>
          <w:b/>
          <w:i/>
          <w:sz w:val="32"/>
          <w:szCs w:val="32"/>
          <w:u w:val="single"/>
        </w:rPr>
        <w:t>20</w:t>
      </w:r>
    </w:p>
    <w:p w:rsidR="00CE6807" w:rsidRDefault="00CE6807" w:rsidP="00CE6807">
      <w:pPr>
        <w:pStyle w:val="Zkladntext20"/>
        <w:shd w:val="clear" w:color="auto" w:fill="auto"/>
        <w:spacing w:before="0" w:after="31" w:line="240" w:lineRule="exact"/>
        <w:jc w:val="both"/>
        <w:rPr>
          <w:rFonts w:ascii="Arial" w:hAnsi="Arial" w:cs="Arial"/>
        </w:rPr>
      </w:pPr>
    </w:p>
    <w:p w:rsidR="00F065ED" w:rsidRDefault="00F065ED" w:rsidP="00CE6807">
      <w:pPr>
        <w:pStyle w:val="Zkladntext20"/>
        <w:shd w:val="clear" w:color="auto" w:fill="auto"/>
        <w:spacing w:before="0" w:after="31" w:line="240" w:lineRule="exact"/>
        <w:jc w:val="both"/>
        <w:rPr>
          <w:rFonts w:ascii="Arial" w:hAnsi="Arial" w:cs="Arial"/>
        </w:rPr>
      </w:pPr>
    </w:p>
    <w:p w:rsidR="00CE6807" w:rsidRDefault="00CE6807" w:rsidP="009C4935">
      <w:pPr>
        <w:pStyle w:val="Zkladntext20"/>
        <w:shd w:val="clear" w:color="auto" w:fill="auto"/>
        <w:spacing w:before="0" w:after="31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(§ 17 zákona č. 250/2000 Sb., o rozpočtových pravidlech územních rozpočtů, ve znění platných předpisů)</w:t>
      </w:r>
    </w:p>
    <w:p w:rsidR="00482D3C" w:rsidRDefault="00482D3C" w:rsidP="00482D3C">
      <w:pPr>
        <w:pStyle w:val="Zkladntext20"/>
        <w:shd w:val="clear" w:color="auto" w:fill="auto"/>
        <w:spacing w:before="0" w:after="31" w:line="240" w:lineRule="exact"/>
        <w:jc w:val="both"/>
        <w:rPr>
          <w:rFonts w:ascii="Arial" w:hAnsi="Arial" w:cs="Arial"/>
        </w:rPr>
      </w:pPr>
    </w:p>
    <w:p w:rsidR="00F065ED" w:rsidRPr="00482D3C" w:rsidRDefault="00F065ED" w:rsidP="00482D3C">
      <w:pPr>
        <w:pStyle w:val="Zkladntext20"/>
        <w:shd w:val="clear" w:color="auto" w:fill="auto"/>
        <w:spacing w:before="0" w:after="31" w:line="240" w:lineRule="exact"/>
        <w:jc w:val="both"/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"/>
        <w:gridCol w:w="538"/>
        <w:gridCol w:w="241"/>
        <w:gridCol w:w="1417"/>
        <w:gridCol w:w="7367"/>
        <w:gridCol w:w="567"/>
        <w:gridCol w:w="76"/>
      </w:tblGrid>
      <w:tr w:rsidR="00CE6807" w:rsidTr="00AF4347">
        <w:trPr>
          <w:gridAfter w:val="1"/>
          <w:wAfter w:w="76" w:type="dxa"/>
          <w:trHeight w:val="397"/>
        </w:trPr>
        <w:tc>
          <w:tcPr>
            <w:tcW w:w="10200" w:type="dxa"/>
            <w:gridSpan w:val="6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organizaci</w:t>
            </w:r>
          </w:p>
        </w:tc>
      </w:tr>
      <w:tr w:rsidR="00CE6807" w:rsidTr="00AF4347">
        <w:trPr>
          <w:gridAfter w:val="2"/>
          <w:wAfter w:w="643" w:type="dxa"/>
          <w:trHeight w:val="283"/>
        </w:trPr>
        <w:tc>
          <w:tcPr>
            <w:tcW w:w="84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3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Svazek obcí Rozvoj</w:t>
            </w:r>
          </w:p>
        </w:tc>
      </w:tr>
      <w:tr w:rsidR="00CE6807" w:rsidTr="00AF4347">
        <w:trPr>
          <w:gridAfter w:val="2"/>
          <w:wAfter w:w="643" w:type="dxa"/>
          <w:trHeight w:val="283"/>
        </w:trPr>
        <w:tc>
          <w:tcPr>
            <w:tcW w:w="84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73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 w:rsidP="00CE6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Hrušovany č.</w:t>
            </w:r>
            <w:r w:rsidR="009C49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p. 15</w:t>
            </w:r>
          </w:p>
        </w:tc>
      </w:tr>
      <w:tr w:rsidR="00CE6807" w:rsidTr="00AF4347">
        <w:trPr>
          <w:gridAfter w:val="2"/>
          <w:wAfter w:w="643" w:type="dxa"/>
          <w:trHeight w:val="283"/>
        </w:trPr>
        <w:tc>
          <w:tcPr>
            <w:tcW w:w="84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 w:rsidP="00CE6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 43 Hrušovany</w:t>
            </w:r>
          </w:p>
        </w:tc>
      </w:tr>
      <w:tr w:rsidR="00CE6807" w:rsidTr="00AF4347">
        <w:trPr>
          <w:gridAfter w:val="2"/>
          <w:wAfter w:w="643" w:type="dxa"/>
          <w:trHeight w:val="283"/>
        </w:trPr>
        <w:tc>
          <w:tcPr>
            <w:tcW w:w="84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</w:p>
        </w:tc>
        <w:tc>
          <w:tcPr>
            <w:tcW w:w="73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75067692</w:t>
            </w:r>
          </w:p>
        </w:tc>
      </w:tr>
      <w:tr w:rsidR="00CE6807" w:rsidTr="00AF4347">
        <w:trPr>
          <w:gridAfter w:val="2"/>
          <w:wAfter w:w="643" w:type="dxa"/>
          <w:trHeight w:val="283"/>
        </w:trPr>
        <w:tc>
          <w:tcPr>
            <w:tcW w:w="84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73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6807" w:rsidRDefault="00CE6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Svazek obcí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10206" w:type="dxa"/>
            <w:gridSpan w:val="6"/>
            <w:shd w:val="pct10" w:color="000000" w:fill="FFFFFF"/>
            <w:hideMark/>
          </w:tcPr>
          <w:p w:rsidR="00AF4347" w:rsidRPr="00AF4347" w:rsidRDefault="00AF4347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AF4347" w:rsidRPr="00AF4347" w:rsidRDefault="00AF4347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AF4347" w:rsidRPr="00AF4347" w:rsidRDefault="00AF4347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AF4347" w:rsidRDefault="00AF4347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AF4347">
              <w:rPr>
                <w:rFonts w:ascii="Arial" w:hAnsi="Arial" w:cs="Arial"/>
                <w:b/>
                <w:bCs/>
                <w:color w:val="808080"/>
              </w:rPr>
              <w:t>Obsah závěrečného účtu</w:t>
            </w:r>
          </w:p>
          <w:p w:rsidR="00AF4347" w:rsidRPr="00AF4347" w:rsidRDefault="00AF4347">
            <w:pPr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I. Plnění rozpočtu příjmů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II. Plnění rozpočtu výdajů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III. Financování (zapojení vlastních úspor a cizích zdrojů)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IV. Stavy a obraty na bankovních účtech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 w:rsidP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 xml:space="preserve">V. Peněžní fondy 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VI. Majetek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VII. Vyúčtování finančních vztahů k rozpočtům krajů, obcí, DSO a vnitřní převody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VIII. Vyúčtování finančních vztahů ke státnímu rozpočtu, státním fondům a Národnímu fondu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IX. Zpráva o výsledku přezkoumání hospodaření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X. Finanční hospodaření zřízených právnických osob a hospodaření s jejich majetkem</w:t>
            </w:r>
          </w:p>
        </w:tc>
      </w:tr>
      <w:tr w:rsidR="00AF4347" w:rsidTr="00AF4347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Before w:val="1"/>
          <w:wBefore w:w="70" w:type="dxa"/>
          <w:cantSplit/>
        </w:trPr>
        <w:tc>
          <w:tcPr>
            <w:tcW w:w="538" w:type="dxa"/>
          </w:tcPr>
          <w:p w:rsidR="00AF4347" w:rsidRDefault="00AF43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68" w:type="dxa"/>
            <w:gridSpan w:val="5"/>
            <w:hideMark/>
          </w:tcPr>
          <w:p w:rsidR="00AF4347" w:rsidRPr="00AF4347" w:rsidRDefault="00AF4347">
            <w:pPr>
              <w:rPr>
                <w:rFonts w:ascii="Arial" w:hAnsi="Arial" w:cs="Arial"/>
                <w:color w:val="000000"/>
              </w:rPr>
            </w:pPr>
            <w:r w:rsidRPr="00AF4347">
              <w:rPr>
                <w:rFonts w:ascii="Arial" w:hAnsi="Arial" w:cs="Arial"/>
                <w:color w:val="000000"/>
              </w:rPr>
              <w:t>XI. Ostatní doplňující údaje</w:t>
            </w:r>
          </w:p>
        </w:tc>
      </w:tr>
    </w:tbl>
    <w:p w:rsidR="00AF4347" w:rsidRDefault="00AF4347" w:rsidP="00AF4347">
      <w:pPr>
        <w:rPr>
          <w:rFonts w:ascii="Arial" w:hAnsi="Arial" w:cs="Arial"/>
          <w:color w:val="000000"/>
          <w:sz w:val="17"/>
          <w:szCs w:val="17"/>
        </w:rPr>
        <w:sectPr w:rsidR="00AF4347">
          <w:pgSz w:w="11903" w:h="16833"/>
          <w:pgMar w:top="566" w:right="566" w:bottom="850" w:left="566" w:header="708" w:footer="708" w:gutter="0"/>
          <w:cols w:space="708"/>
        </w:sectPr>
      </w:pPr>
    </w:p>
    <w:p w:rsidR="00CE6807" w:rsidRDefault="00CE6807" w:rsidP="00CE6807">
      <w:pPr>
        <w:rPr>
          <w:rFonts w:ascii="Arial" w:hAnsi="Arial" w:cs="Arial"/>
        </w:rPr>
      </w:pPr>
    </w:p>
    <w:p w:rsidR="009A06BE" w:rsidRDefault="009A06BE" w:rsidP="00AF4347">
      <w:pPr>
        <w:spacing w:before="40" w:after="40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A06BE" w:rsidRDefault="009A06BE" w:rsidP="009A06BE">
      <w:pPr>
        <w:spacing w:before="10" w:after="10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34 704,00 </w:t>
            </w:r>
          </w:p>
        </w:tc>
      </w:tr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34 704,00 </w:t>
            </w:r>
          </w:p>
        </w:tc>
      </w:tr>
    </w:tbl>
    <w:p w:rsidR="009A06BE" w:rsidRDefault="009A06BE" w:rsidP="009A06BE">
      <w:pPr>
        <w:rPr>
          <w:rFonts w:ascii="Arial" w:hAnsi="Arial" w:cs="Arial"/>
          <w:b/>
          <w:bCs/>
          <w:color w:val="000000"/>
          <w:sz w:val="16"/>
          <w:szCs w:val="16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9A06BE">
      <w:pPr>
        <w:spacing w:before="10" w:after="10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A06BE" w:rsidRDefault="009A06BE" w:rsidP="009A06BE">
      <w:pPr>
        <w:spacing w:before="10" w:after="10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64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4121</w:t>
            </w:r>
          </w:p>
        </w:tc>
        <w:tc>
          <w:tcPr>
            <w:tcW w:w="4630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34 704,00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34 704,00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34 704,00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34 704,00 </w:t>
            </w:r>
          </w:p>
        </w:tc>
      </w:tr>
      <w:tr w:rsidR="009A06BE" w:rsidTr="009A06BE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40" w:type="dxa"/>
              <w:bottom w:w="7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20" w:type="dxa"/>
              <w:bottom w:w="7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40" w:type="dxa"/>
              <w:bottom w:w="7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40" w:type="dxa"/>
              <w:bottom w:w="7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34 704,00 </w:t>
            </w:r>
          </w:p>
        </w:tc>
      </w:tr>
    </w:tbl>
    <w:p w:rsidR="009A06BE" w:rsidRDefault="009A06BE" w:rsidP="009A06BE">
      <w:pPr>
        <w:rPr>
          <w:color w:val="000000"/>
          <w:sz w:val="17"/>
          <w:szCs w:val="17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9A06BE">
      <w:pPr>
        <w:rPr>
          <w:color w:val="000000"/>
          <w:sz w:val="17"/>
          <w:szCs w:val="17"/>
        </w:r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A06BE" w:rsidRDefault="009A06BE" w:rsidP="00AF4347">
      <w:pPr>
        <w:spacing w:before="10" w:after="10"/>
        <w:ind w:right="40"/>
        <w:rPr>
          <w:rFonts w:ascii="Arial" w:hAnsi="Arial" w:cs="Arial"/>
          <w:color w:val="000000"/>
          <w:sz w:val="14"/>
          <w:szCs w:val="14"/>
        </w:rPr>
      </w:pPr>
    </w:p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21 916,95 </w:t>
            </w:r>
          </w:p>
        </w:tc>
      </w:tr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527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21 916,95 </w:t>
            </w:r>
          </w:p>
        </w:tc>
      </w:tr>
    </w:tbl>
    <w:p w:rsidR="009A06BE" w:rsidRDefault="009A06BE" w:rsidP="009A06BE">
      <w:pPr>
        <w:rPr>
          <w:rFonts w:ascii="Arial" w:hAnsi="Arial" w:cs="Arial"/>
          <w:b/>
          <w:bCs/>
          <w:color w:val="000000"/>
          <w:sz w:val="16"/>
          <w:szCs w:val="16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9A06BE">
      <w:pPr>
        <w:spacing w:before="10" w:after="10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A06BE" w:rsidRDefault="009A06BE" w:rsidP="009A06BE">
      <w:pPr>
        <w:spacing w:before="10" w:after="10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64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5021</w:t>
            </w:r>
          </w:p>
        </w:tc>
        <w:tc>
          <w:tcPr>
            <w:tcW w:w="4630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3 598,95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12 916,95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12 916,95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Ost.neinv.transf.nezisk. a podob.organizacím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A06BE" w:rsidTr="009A06BE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21 916,95 </w:t>
            </w:r>
          </w:p>
        </w:tc>
      </w:tr>
      <w:tr w:rsidR="009A06BE" w:rsidTr="009A06BE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40" w:type="dxa"/>
              <w:bottom w:w="7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20" w:type="dxa"/>
              <w:bottom w:w="70" w:type="dxa"/>
              <w:right w:w="2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40" w:type="dxa"/>
              <w:bottom w:w="7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40" w:type="dxa"/>
              <w:bottom w:w="7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21 916,95 </w:t>
            </w:r>
          </w:p>
        </w:tc>
      </w:tr>
    </w:tbl>
    <w:p w:rsidR="009A06BE" w:rsidRDefault="009A06BE" w:rsidP="009A06BE">
      <w:pPr>
        <w:spacing w:before="40" w:after="40"/>
        <w:ind w:left="40" w:right="40"/>
        <w:rPr>
          <w:color w:val="000000"/>
          <w:sz w:val="17"/>
          <w:szCs w:val="17"/>
        </w:rPr>
      </w:pPr>
    </w:p>
    <w:p w:rsidR="009A06BE" w:rsidRDefault="009A06BE" w:rsidP="009A06BE">
      <w:pPr>
        <w:rPr>
          <w:color w:val="000000"/>
          <w:sz w:val="17"/>
          <w:szCs w:val="17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738"/>
        <w:gridCol w:w="538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12 787,05 </w:t>
            </w:r>
          </w:p>
        </w:tc>
      </w:tr>
    </w:tbl>
    <w:p w:rsidR="009A06BE" w:rsidRPr="009A06BE" w:rsidRDefault="009A06BE" w:rsidP="009A06BE">
      <w:pP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769"/>
        <w:gridCol w:w="3338"/>
        <w:gridCol w:w="1831"/>
        <w:gridCol w:w="1831"/>
      </w:tblGrid>
      <w:tr w:rsidR="009A06BE" w:rsidTr="009A06BE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A06BE" w:rsidRDefault="009A06BE" w:rsidP="009A06BE">
      <w:pPr>
        <w:spacing w:before="10" w:after="10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15"/>
        <w:gridCol w:w="4523"/>
        <w:gridCol w:w="538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12 787,05-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12 787,05-</w:t>
            </w:r>
          </w:p>
        </w:tc>
      </w:tr>
    </w:tbl>
    <w:p w:rsidR="009A06BE" w:rsidRDefault="009A06BE" w:rsidP="009A06BE">
      <w:pPr>
        <w:rPr>
          <w:rFonts w:ascii="Arial" w:hAnsi="Arial" w:cs="Arial"/>
          <w:b/>
          <w:bCs/>
          <w:color w:val="FF0000"/>
          <w:sz w:val="16"/>
          <w:szCs w:val="16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AF4347" w:rsidRDefault="00AF4347" w:rsidP="00EE7191">
      <w:pPr>
        <w:rPr>
          <w:rFonts w:ascii="Arial" w:hAnsi="Arial" w:cs="Arial"/>
        </w:rPr>
      </w:pPr>
    </w:p>
    <w:p w:rsidR="00AF4347" w:rsidRPr="00F32965" w:rsidRDefault="00AF4347" w:rsidP="00AF4347">
      <w:pPr>
        <w:jc w:val="both"/>
        <w:rPr>
          <w:rFonts w:ascii="Arial" w:hAnsi="Arial" w:cs="Arial"/>
          <w:spacing w:val="-7"/>
        </w:rPr>
      </w:pPr>
      <w:r w:rsidRPr="00F32965">
        <w:rPr>
          <w:rFonts w:ascii="Arial" w:hAnsi="Arial" w:cs="Arial"/>
          <w:spacing w:val="-7"/>
        </w:rPr>
        <w:t xml:space="preserve">Rozpočet Svazku obcí Rozvoj  na rok 2020 byl schválen na jednání Valné hromady Svazku obcí Rozvoj dne  12. 12. 2019 jako vyrovnaný s celkovými příjmy i výdaji ve výši 35 000,- Kč. </w:t>
      </w:r>
    </w:p>
    <w:p w:rsidR="00AF4347" w:rsidRPr="00F32965" w:rsidRDefault="00AF4347" w:rsidP="00AF4347">
      <w:pPr>
        <w:jc w:val="both"/>
        <w:rPr>
          <w:rFonts w:ascii="Arial" w:hAnsi="Arial" w:cs="Arial"/>
          <w:spacing w:val="-7"/>
        </w:rPr>
      </w:pPr>
    </w:p>
    <w:p w:rsidR="00AF4347" w:rsidRPr="00AF4347" w:rsidRDefault="00AF4347" w:rsidP="00AF4347">
      <w:pPr>
        <w:jc w:val="both"/>
        <w:rPr>
          <w:rFonts w:ascii="Arial" w:hAnsi="Arial" w:cs="Arial"/>
          <w:spacing w:val="-7"/>
        </w:rPr>
      </w:pPr>
      <w:r w:rsidRPr="00F32965">
        <w:rPr>
          <w:rFonts w:ascii="Arial" w:hAnsi="Arial" w:cs="Arial"/>
          <w:spacing w:val="-7"/>
        </w:rPr>
        <w:t>V</w:t>
      </w:r>
      <w:r>
        <w:rPr>
          <w:rFonts w:ascii="Arial" w:hAnsi="Arial" w:cs="Arial"/>
          <w:spacing w:val="-7"/>
        </w:rPr>
        <w:t> roce 2020 nebylo přijato žádné rozpočtové opatření.</w:t>
      </w:r>
      <w:r w:rsidRPr="00F32965">
        <w:rPr>
          <w:rFonts w:ascii="Arial" w:hAnsi="Arial" w:cs="Arial"/>
          <w:spacing w:val="-7"/>
        </w:rPr>
        <w:t xml:space="preserve"> </w:t>
      </w:r>
    </w:p>
    <w:p w:rsidR="00AF4347" w:rsidRDefault="00AF4347" w:rsidP="00EE7191">
      <w:pPr>
        <w:rPr>
          <w:rFonts w:ascii="Arial" w:hAnsi="Arial" w:cs="Arial"/>
        </w:rPr>
      </w:pPr>
    </w:p>
    <w:p w:rsidR="00EE7191" w:rsidRPr="00334D2D" w:rsidRDefault="00EE7191" w:rsidP="00EE7191">
      <w:pPr>
        <w:rPr>
          <w:rFonts w:ascii="Arial" w:hAnsi="Arial" w:cs="Arial"/>
        </w:rPr>
      </w:pPr>
      <w:r w:rsidRPr="00334D2D">
        <w:rPr>
          <w:rFonts w:ascii="Arial" w:hAnsi="Arial" w:cs="Arial"/>
        </w:rPr>
        <w:t>Rozpočtové hospodaření svazku za rok 2020 skončilo převahou příjmů nad výdaji ve výši 12 787,05 Kč</w:t>
      </w:r>
    </w:p>
    <w:p w:rsidR="00EE7191" w:rsidRPr="00334D2D" w:rsidRDefault="00EE7191" w:rsidP="00EE7191">
      <w:pPr>
        <w:rPr>
          <w:rFonts w:ascii="Arial" w:hAnsi="Arial" w:cs="Arial"/>
        </w:rPr>
      </w:pPr>
    </w:p>
    <w:p w:rsidR="00EE7191" w:rsidRPr="00334D2D" w:rsidRDefault="00EE7191" w:rsidP="00EE7191">
      <w:pPr>
        <w:jc w:val="both"/>
        <w:rPr>
          <w:rFonts w:ascii="Arial" w:hAnsi="Arial" w:cs="Arial"/>
        </w:rPr>
      </w:pPr>
      <w:r w:rsidRPr="00334D2D">
        <w:rPr>
          <w:rFonts w:ascii="Arial" w:hAnsi="Arial" w:cs="Arial"/>
        </w:rPr>
        <w:t>Údaje o plnění rozpočtu příjmů, výdajů a dalších finančních operacích v plném členění podle rozpočtové skladby jsou k nahlédnutí v kanceláři obecního úřadu v Hrušovanech (výkaz FIN 2-12), včetně dalších příloh závěrečného účtu.</w:t>
      </w:r>
    </w:p>
    <w:p w:rsidR="00EE7191" w:rsidRDefault="00EE7191" w:rsidP="00123E9E">
      <w:pPr>
        <w:spacing w:before="40" w:after="40"/>
        <w:ind w:right="40"/>
        <w:rPr>
          <w:color w:val="000000"/>
          <w:sz w:val="17"/>
          <w:szCs w:val="17"/>
        </w:r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p w:rsidR="00DD33C3" w:rsidRDefault="00DD33C3" w:rsidP="00123E9E">
      <w:pPr>
        <w:spacing w:before="40" w:after="40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9A06BE" w:rsidRDefault="009A06BE" w:rsidP="00887727">
      <w:pPr>
        <w:spacing w:before="40" w:after="40"/>
        <w:ind w:left="40" w:righ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Stavy bankovních účtů k 31.</w:t>
      </w:r>
      <w:r w:rsidR="008221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12.</w:t>
      </w:r>
      <w:r w:rsidR="008221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</w:t>
      </w:r>
      <w:r w:rsidR="00887727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KB       </w:t>
      </w:r>
      <w:r w:rsidR="00EE7191">
        <w:rPr>
          <w:rFonts w:ascii="Arial" w:hAnsi="Arial" w:cs="Arial"/>
          <w:bCs/>
        </w:rPr>
        <w:t xml:space="preserve"> 59 040,42 Kč</w:t>
      </w:r>
    </w:p>
    <w:p w:rsidR="009A06BE" w:rsidRDefault="00887727" w:rsidP="00887727">
      <w:pPr>
        <w:spacing w:before="40" w:after="40"/>
        <w:ind w:righ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</w:t>
      </w:r>
      <w:r w:rsidR="009A06BE">
        <w:rPr>
          <w:rFonts w:ascii="Arial" w:hAnsi="Arial" w:cs="Arial"/>
          <w:bCs/>
        </w:rPr>
        <w:t>ČNB</w:t>
      </w:r>
      <w:r w:rsidR="00EE7191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</w:t>
      </w:r>
      <w:r w:rsidR="00EE7191">
        <w:rPr>
          <w:rFonts w:ascii="Arial" w:hAnsi="Arial" w:cs="Arial"/>
          <w:bCs/>
        </w:rPr>
        <w:t xml:space="preserve">   43,62 Kč</w:t>
      </w:r>
    </w:p>
    <w:p w:rsidR="009A06BE" w:rsidRPr="009A06BE" w:rsidRDefault="009A06BE" w:rsidP="009A06BE">
      <w:pPr>
        <w:spacing w:before="40" w:after="40"/>
        <w:ind w:left="40" w:right="40"/>
        <w:rPr>
          <w:rFonts w:ascii="Arial" w:hAnsi="Arial" w:cs="Arial"/>
          <w:bCs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9A06BE" w:rsidTr="00123E9E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  <w:tr w:rsidR="009A06BE" w:rsidTr="00123E9E">
        <w:trPr>
          <w:cantSplit/>
        </w:trPr>
        <w:tc>
          <w:tcPr>
            <w:tcW w:w="3446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46 296,99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12 787,05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59 084,04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12 787,05-</w:t>
            </w:r>
          </w:p>
        </w:tc>
      </w:tr>
      <w:tr w:rsidR="009A06BE" w:rsidTr="00123E9E">
        <w:trPr>
          <w:cantSplit/>
        </w:trPr>
        <w:tc>
          <w:tcPr>
            <w:tcW w:w="3446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123E9E">
        <w:trPr>
          <w:cantSplit/>
        </w:trPr>
        <w:tc>
          <w:tcPr>
            <w:tcW w:w="3446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46 296,99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12 787,05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59 084,04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12 787,05-</w:t>
            </w:r>
          </w:p>
        </w:tc>
      </w:tr>
      <w:tr w:rsidR="009A06BE" w:rsidTr="00123E9E">
        <w:trPr>
          <w:cantSplit/>
        </w:trPr>
        <w:tc>
          <w:tcPr>
            <w:tcW w:w="3446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123E9E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9A06BE" w:rsidRDefault="009A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123E9E">
      <w:pPr>
        <w:spacing w:before="40" w:after="40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</w:t>
      </w:r>
      <w:r w:rsidR="00EE7191"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NDY </w:t>
      </w:r>
    </w:p>
    <w:p w:rsidR="00DD33C3" w:rsidRDefault="00DD33C3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EE7191" w:rsidRDefault="00EE7191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Cs/>
        </w:rPr>
        <w:t>Svazek obcí Rozvoj netvořil v roce 2020 žádné fondy</w:t>
      </w:r>
    </w:p>
    <w:p w:rsidR="009A06BE" w:rsidRDefault="009A06BE" w:rsidP="009A06BE">
      <w:pPr>
        <w:rPr>
          <w:color w:val="000000"/>
          <w:sz w:val="17"/>
          <w:szCs w:val="17"/>
        </w:rPr>
      </w:pPr>
    </w:p>
    <w:p w:rsidR="00AF4347" w:rsidRDefault="00AF4347" w:rsidP="009A06BE">
      <w:pPr>
        <w:rPr>
          <w:color w:val="000000"/>
          <w:sz w:val="17"/>
          <w:szCs w:val="17"/>
        </w:rPr>
        <w:sectPr w:rsidR="00AF4347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p w:rsidR="00123E9E" w:rsidRDefault="00123E9E" w:rsidP="00123E9E">
      <w:pPr>
        <w:spacing w:before="40" w:after="40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EE7191" w:rsidRDefault="00EE7191" w:rsidP="00123E9E">
      <w:pPr>
        <w:spacing w:before="40" w:after="40"/>
        <w:ind w:righ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Svazek obcí Rozvoj v roce 2020 nepořídil ani neprodal žádný majetek. Jediné majetkové operace  jsou provedené odpisy majetku. </w:t>
      </w:r>
    </w:p>
    <w:p w:rsidR="00DD33C3" w:rsidRPr="00DD33C3" w:rsidRDefault="00DD33C3" w:rsidP="00DD33C3">
      <w:pPr>
        <w:jc w:val="both"/>
        <w:rPr>
          <w:rFonts w:ascii="Arial" w:hAnsi="Arial" w:cs="Arial"/>
        </w:rPr>
      </w:pPr>
      <w:r w:rsidRPr="00DD33C3">
        <w:rPr>
          <w:rFonts w:ascii="Arial" w:hAnsi="Arial" w:cs="Arial"/>
        </w:rPr>
        <w:t>Svazek eviduje v majetku „Strategický rozvojový dokument“ v hodnotě 143.000,- Kč a „Samosběrný čistící stroj“ v hodnotě 1.730.300,- Kč.</w:t>
      </w:r>
    </w:p>
    <w:p w:rsidR="00EE7191" w:rsidRDefault="00EE7191" w:rsidP="00123E9E">
      <w:pPr>
        <w:spacing w:before="40" w:after="40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769"/>
        <w:gridCol w:w="3338"/>
        <w:gridCol w:w="1831"/>
        <w:gridCol w:w="1831"/>
      </w:tblGrid>
      <w:tr w:rsidR="009A06BE" w:rsidTr="009A06BE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9A06BE" w:rsidRDefault="009A06BE" w:rsidP="009A06BE">
      <w:pPr>
        <w:rPr>
          <w:rFonts w:ascii="Arial" w:hAnsi="Arial" w:cs="Arial"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15"/>
        <w:gridCol w:w="5061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</w:tr>
      <w:tr w:rsidR="009A06BE" w:rsidTr="009A06BE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1 730 300,00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1 730 300,00 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41 042,00-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2 604,00-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43 646,00-</w:t>
            </w:r>
          </w:p>
        </w:tc>
      </w:tr>
      <w:tr w:rsidR="009A06BE" w:rsidTr="009A06BE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43 260,00-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8 652,00-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51 912,00-</w:t>
            </w: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6BE" w:rsidTr="009A06BE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  <w:p w:rsidR="00887727" w:rsidRDefault="00887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06BE" w:rsidRDefault="009A06BE" w:rsidP="009A06BE">
      <w:pPr>
        <w:rPr>
          <w:rFonts w:ascii="Arial" w:hAnsi="Arial" w:cs="Arial"/>
          <w:color w:val="000000"/>
          <w:sz w:val="16"/>
          <w:szCs w:val="16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B44829" w:rsidRDefault="00B44829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B44829" w:rsidRDefault="00B44829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VII. VYÚČTOVÁNÍ FIN. VZTAHŮ K ROZPOČTŮM KRAJŮ, OBCÍ, DSO A VNITŘNÍ PŘEVODY</w:t>
      </w:r>
    </w:p>
    <w:p w:rsidR="00EE7191" w:rsidRDefault="00EE7191" w:rsidP="009A06BE">
      <w:pPr>
        <w:spacing w:before="40" w:after="40"/>
        <w:ind w:left="40" w:right="40"/>
        <w:rPr>
          <w:rFonts w:ascii="Arial" w:hAnsi="Arial" w:cs="Arial"/>
          <w:bCs/>
        </w:rPr>
      </w:pPr>
    </w:p>
    <w:p w:rsidR="00EE7191" w:rsidRDefault="00EE7191" w:rsidP="009A06BE">
      <w:pPr>
        <w:spacing w:before="40" w:after="40"/>
        <w:ind w:left="40" w:righ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Svazek obcí Rozvoj nečerpal žádné dotace z rozpočtu kraje. </w:t>
      </w:r>
    </w:p>
    <w:p w:rsidR="00EE7191" w:rsidRDefault="00B44829" w:rsidP="00DD33C3">
      <w:pPr>
        <w:spacing w:before="40" w:after="40"/>
        <w:ind w:left="40" w:righ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EE7191">
        <w:rPr>
          <w:rFonts w:ascii="Arial" w:hAnsi="Arial" w:cs="Arial"/>
          <w:bCs/>
        </w:rPr>
        <w:t xml:space="preserve">říspěvky účtované na položku 4121 jsou členské příspěvky jednotlivých obcí. </w:t>
      </w:r>
    </w:p>
    <w:p w:rsidR="00584563" w:rsidRPr="00DD33C3" w:rsidRDefault="00584563" w:rsidP="00DD33C3">
      <w:pPr>
        <w:spacing w:before="40" w:after="40"/>
        <w:ind w:left="40" w:right="40"/>
        <w:rPr>
          <w:rFonts w:ascii="Arial" w:hAnsi="Arial" w:cs="Arial"/>
          <w:bCs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hideMark/>
          </w:tcPr>
          <w:p w:rsidR="009A06BE" w:rsidRDefault="009A06BE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A06BE" w:rsidRDefault="009A06BE" w:rsidP="009A06BE">
      <w:pPr>
        <w:rPr>
          <w:rFonts w:ascii="Arial" w:hAnsi="Arial" w:cs="Arial"/>
          <w:i/>
          <w:iCs/>
          <w:color w:val="000000"/>
          <w:sz w:val="14"/>
          <w:szCs w:val="14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A06BE" w:rsidTr="009A06BE">
        <w:trPr>
          <w:cantSplit/>
        </w:trPr>
        <w:tc>
          <w:tcPr>
            <w:tcW w:w="646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4121</w:t>
            </w:r>
          </w:p>
        </w:tc>
        <w:tc>
          <w:tcPr>
            <w:tcW w:w="4630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Mar>
              <w:top w:w="30" w:type="dxa"/>
              <w:left w:w="40" w:type="dxa"/>
              <w:bottom w:w="30" w:type="dxa"/>
              <w:right w:w="40" w:type="dxa"/>
            </w:tcMar>
            <w:hideMark/>
          </w:tcPr>
          <w:p w:rsidR="009A06BE" w:rsidRDefault="009A06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34 704,00 </w:t>
            </w:r>
          </w:p>
        </w:tc>
      </w:tr>
      <w:tr w:rsidR="009A06BE" w:rsidTr="009A06BE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06BE" w:rsidRDefault="009A06BE">
            <w:pPr>
              <w:rPr>
                <w:color w:val="000000"/>
                <w:sz w:val="17"/>
                <w:szCs w:val="17"/>
              </w:rPr>
            </w:pPr>
          </w:p>
        </w:tc>
      </w:tr>
    </w:tbl>
    <w:p w:rsidR="009A06BE" w:rsidRDefault="009A06BE" w:rsidP="009A06BE">
      <w:pPr>
        <w:rPr>
          <w:color w:val="000000"/>
          <w:sz w:val="17"/>
          <w:szCs w:val="17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p w:rsidR="00EE7191" w:rsidRDefault="00EE7191" w:rsidP="00EE7191">
      <w:pPr>
        <w:spacing w:before="40" w:after="40"/>
        <w:ind w:left="40" w:right="40"/>
        <w:rPr>
          <w:rFonts w:ascii="Arial" w:hAnsi="Arial" w:cs="Arial"/>
          <w:bCs/>
        </w:rPr>
      </w:pPr>
    </w:p>
    <w:p w:rsidR="00EE7191" w:rsidRDefault="00EE7191" w:rsidP="00EE7191">
      <w:pPr>
        <w:spacing w:before="40" w:after="40"/>
        <w:ind w:left="40" w:righ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Svazek obcí Rozvoj nečerpal žádné dotace ze státního rozpočtu, státních fondů ani národního fondu. </w:t>
      </w:r>
    </w:p>
    <w:p w:rsidR="009A06BE" w:rsidRDefault="009A06BE" w:rsidP="009A06BE">
      <w:pPr>
        <w:rPr>
          <w:color w:val="000000"/>
          <w:sz w:val="17"/>
          <w:szCs w:val="17"/>
        </w:rPr>
        <w:sectPr w:rsidR="009A06BE">
          <w:type w:val="continuous"/>
          <w:pgSz w:w="11903" w:h="16833"/>
          <w:pgMar w:top="566" w:right="566" w:bottom="850" w:left="566" w:header="708" w:footer="708" w:gutter="0"/>
          <w:cols w:space="708"/>
        </w:sect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8221F0" w:rsidRDefault="008221F0" w:rsidP="008221F0">
      <w:pPr>
        <w:pStyle w:val="Zkladntext21"/>
        <w:widowControl/>
        <w:autoSpaceDE/>
        <w:adjustRightInd/>
        <w:spacing w:after="0"/>
        <w:ind w:left="0"/>
        <w:jc w:val="both"/>
        <w:rPr>
          <w:rFonts w:ascii="Arial" w:hAnsi="Arial" w:cs="Arial"/>
        </w:rPr>
      </w:pPr>
    </w:p>
    <w:p w:rsidR="008221F0" w:rsidRDefault="008221F0" w:rsidP="008221F0">
      <w:pPr>
        <w:widowControl/>
        <w:autoSpaceDE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Přezkoumání hospodaření svazku bylo provedeno na základě žádosti DSO Rozvoj. Přezkoumání provedly pracovnice Krajského úřadu Ústeckého kraje, odboru kontr</w:t>
      </w:r>
      <w:r w:rsidR="009C4935">
        <w:rPr>
          <w:rFonts w:ascii="Arial" w:hAnsi="Arial" w:cs="Arial"/>
        </w:rPr>
        <w:t xml:space="preserve">oly – Ing. Barbora Jirásková a </w:t>
      </w:r>
      <w:r>
        <w:rPr>
          <w:rFonts w:ascii="Arial" w:hAnsi="Arial" w:cs="Arial"/>
        </w:rPr>
        <w:t>Ing. Blanka Bláhová. Dílčí přezkoumání se uskutečnilo 11. 9. 2020 a konečné přezkoumání pak 28. 5. 20201.</w:t>
      </w:r>
    </w:p>
    <w:p w:rsidR="008221F0" w:rsidRDefault="008221F0" w:rsidP="008221F0">
      <w:pPr>
        <w:widowControl/>
        <w:autoSpaceDE/>
        <w:adjustRightInd/>
        <w:jc w:val="both"/>
        <w:rPr>
          <w:rFonts w:cs="Arial"/>
          <w:bCs/>
        </w:rPr>
      </w:pPr>
    </w:p>
    <w:p w:rsidR="008221F0" w:rsidRDefault="008221F0" w:rsidP="008221F0">
      <w:pPr>
        <w:pStyle w:val="Zkladntext41"/>
        <w:shd w:val="clear" w:color="auto" w:fill="auto"/>
        <w:spacing w:after="346" w:line="210" w:lineRule="exact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Závěr zprávy: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I. Při přezkoumání hospodaření DSO Svazek obcí Rozvoj za rok 2020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nebyly zjištěny chyby a nedostatky (§10 odst. 3 písm. a) zákona č. 420/2004 Sb.)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II. Při přezkoumání hospodaření DSO Svazek obcí Rozvoj za rok 2020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nebyla zjištěna rizika, která by mohla mít negativní dopad na hospodaření dobrovolného svazku obcí v  budoucnosti. 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III. Poměrové ukazatele zjištěné při přezkoumání hospodaření: 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a) podíl pohledávek na rozpočtu dobrovolného svazku obcí</w:t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>0,00%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b) podíl závazků na rozpočtu dobrovolného svazku obcí     </w:t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>0,00%</w:t>
      </w:r>
    </w:p>
    <w:p w:rsidR="008221F0" w:rsidRDefault="008221F0" w:rsidP="00887727">
      <w:pPr>
        <w:pStyle w:val="Zkladntext41"/>
        <w:shd w:val="clear" w:color="auto" w:fill="auto"/>
        <w:spacing w:after="0" w:line="240" w:lineRule="auto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c) podíl zastaveného majetku na celkovém majetku DSO             </w:t>
      </w:r>
      <w:r>
        <w:rPr>
          <w:bCs w:val="0"/>
          <w:sz w:val="20"/>
          <w:szCs w:val="20"/>
        </w:rPr>
        <w:tab/>
        <w:t xml:space="preserve">             0,00%</w:t>
      </w:r>
    </w:p>
    <w:p w:rsidR="008221F0" w:rsidRPr="008221F0" w:rsidRDefault="008221F0" w:rsidP="008221F0">
      <w:pPr>
        <w:rPr>
          <w:rFonts w:ascii="Arial" w:hAnsi="Arial" w:cs="Arial"/>
        </w:rPr>
      </w:pPr>
    </w:p>
    <w:p w:rsidR="008221F0" w:rsidRPr="008221F0" w:rsidRDefault="008221F0" w:rsidP="008221F0">
      <w:pPr>
        <w:jc w:val="both"/>
        <w:rPr>
          <w:rFonts w:ascii="Arial" w:hAnsi="Arial" w:cs="Arial"/>
        </w:rPr>
      </w:pPr>
      <w:r w:rsidRPr="008221F0">
        <w:rPr>
          <w:rFonts w:ascii="Arial" w:hAnsi="Arial" w:cs="Arial"/>
        </w:rPr>
        <w:t>Plné znění zprávy o provedeném přezkoumání hospodaření DSO za rok 20</w:t>
      </w:r>
      <w:r>
        <w:rPr>
          <w:rFonts w:ascii="Arial" w:hAnsi="Arial" w:cs="Arial"/>
        </w:rPr>
        <w:t>20</w:t>
      </w:r>
      <w:r w:rsidRPr="008221F0">
        <w:rPr>
          <w:rFonts w:ascii="Arial" w:hAnsi="Arial" w:cs="Arial"/>
        </w:rPr>
        <w:t xml:space="preserve"> je přílohou k závěrečnému účtu.</w:t>
      </w:r>
    </w:p>
    <w:p w:rsidR="009A06BE" w:rsidRDefault="009A06BE" w:rsidP="00AF4347">
      <w:pPr>
        <w:spacing w:before="40" w:after="40"/>
        <w:ind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9A06BE" w:rsidRDefault="009A06BE" w:rsidP="009A06BE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9A06BE" w:rsidRDefault="009A06BE" w:rsidP="00887727">
      <w:pPr>
        <w:spacing w:before="40" w:after="40"/>
        <w:ind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D33C3" w:rsidRPr="00DD33C3" w:rsidRDefault="00DD33C3" w:rsidP="00DD33C3">
      <w:pPr>
        <w:jc w:val="both"/>
        <w:rPr>
          <w:rFonts w:ascii="Arial" w:hAnsi="Arial" w:cs="Arial"/>
        </w:rPr>
      </w:pPr>
      <w:r w:rsidRPr="00DD33C3">
        <w:rPr>
          <w:rFonts w:ascii="Arial" w:hAnsi="Arial" w:cs="Arial"/>
        </w:rPr>
        <w:t>Svazek</w:t>
      </w:r>
      <w:r>
        <w:rPr>
          <w:rFonts w:ascii="Arial" w:hAnsi="Arial" w:cs="Arial"/>
        </w:rPr>
        <w:t xml:space="preserve"> obcí Rozvoj </w:t>
      </w:r>
      <w:r w:rsidRPr="00DD33C3">
        <w:rPr>
          <w:rFonts w:ascii="Arial" w:hAnsi="Arial" w:cs="Arial"/>
        </w:rPr>
        <w:t>nezřídil ani nezaložil jinou právnickou osobu.</w:t>
      </w:r>
    </w:p>
    <w:p w:rsidR="00584563" w:rsidRDefault="00584563" w:rsidP="008221F0">
      <w:pPr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AF4347" w:rsidRDefault="00AF4347" w:rsidP="00AF4347">
      <w:pPr>
        <w:spacing w:before="40" w:after="40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AF4347" w:rsidRDefault="00AF4347" w:rsidP="008221F0">
      <w:pPr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AF4347" w:rsidRDefault="00AF4347" w:rsidP="00AF4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Účetní závěrka </w:t>
      </w:r>
    </w:p>
    <w:p w:rsidR="00AF4347" w:rsidRDefault="00AF4347" w:rsidP="00AF4347">
      <w:pPr>
        <w:rPr>
          <w:rFonts w:ascii="Arial" w:hAnsi="Arial" w:cs="Arial"/>
          <w:b/>
        </w:rPr>
      </w:pPr>
    </w:p>
    <w:p w:rsidR="00AF4347" w:rsidRDefault="00AF4347" w:rsidP="00584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se zákonem č. 128/2000 Sb., o obcích, ve znění pozd</w:t>
      </w:r>
      <w:r w:rsidR="009C4935">
        <w:rPr>
          <w:rFonts w:ascii="Arial" w:hAnsi="Arial" w:cs="Arial"/>
        </w:rPr>
        <w:t xml:space="preserve">ějších předpisů, je předložena </w:t>
      </w:r>
      <w:r>
        <w:rPr>
          <w:rFonts w:ascii="Arial" w:hAnsi="Arial" w:cs="Arial"/>
        </w:rPr>
        <w:t xml:space="preserve">valné hromadě ke schválení účetní závěrka svazku, sestavená k rozvahovému dni 31. 12. 2020 (Rozvaha, Výkaz zisku a ztráty, Příloha). Účetní závěrka podává informace o stavu a pohybu veškerých aktiv a závazků účetní jednotky, spolu se Zprávou o přezkoumání hospodaření, informacemi obsaženými v závěrečném účtu a v inventarizační zprávě. </w:t>
      </w:r>
    </w:p>
    <w:p w:rsidR="00584563" w:rsidRDefault="00584563" w:rsidP="00584563">
      <w:pPr>
        <w:jc w:val="both"/>
        <w:rPr>
          <w:rFonts w:ascii="Arial" w:hAnsi="Arial" w:cs="Arial"/>
        </w:rPr>
      </w:pPr>
    </w:p>
    <w:p w:rsidR="00584563" w:rsidRDefault="00584563" w:rsidP="00584563">
      <w:pPr>
        <w:rPr>
          <w:rFonts w:ascii="Arial" w:hAnsi="Arial" w:cs="Arial"/>
        </w:rPr>
      </w:pPr>
      <w:bookmarkStart w:id="0" w:name="OLE_LINK38"/>
      <w:bookmarkStart w:id="1" w:name="OLE_LINK6"/>
      <w:bookmarkStart w:id="2" w:name="OLE_LINK5"/>
      <w:r>
        <w:rPr>
          <w:rFonts w:ascii="Arial" w:hAnsi="Arial" w:cs="Arial"/>
        </w:rPr>
        <w:t xml:space="preserve">Návrh na usnesení: </w:t>
      </w:r>
    </w:p>
    <w:p w:rsidR="00584563" w:rsidRDefault="00584563" w:rsidP="00584563">
      <w:pPr>
        <w:jc w:val="both"/>
        <w:rPr>
          <w:rFonts w:ascii="PT Serif" w:hAnsi="PT Serif" w:hint="eastAsia"/>
          <w:color w:val="000000"/>
          <w:sz w:val="21"/>
          <w:szCs w:val="21"/>
          <w:shd w:val="clear" w:color="auto" w:fill="FFFFFF"/>
        </w:rPr>
      </w:pPr>
    </w:p>
    <w:p w:rsidR="00584563" w:rsidRDefault="00584563" w:rsidP="00584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9C4935">
        <w:rPr>
          <w:rFonts w:ascii="Arial" w:hAnsi="Arial" w:cs="Arial"/>
        </w:rPr>
        <w:t xml:space="preserve">lná hromada Svazku obcí Rozvoj </w:t>
      </w:r>
      <w:r>
        <w:rPr>
          <w:rFonts w:ascii="Arial" w:hAnsi="Arial" w:cs="Arial"/>
        </w:rPr>
        <w:t xml:space="preserve">vyjadřuje souhlas s celoročním hospodařením svazku a schvaluje závěrečný účet svazku za rok 2020 včetně zprávy o výsledku přezkoumání hospodaření za rok 2020 bez výhrad.  </w:t>
      </w:r>
      <w:bookmarkEnd w:id="0"/>
      <w:bookmarkEnd w:id="1"/>
      <w:bookmarkEnd w:id="2"/>
    </w:p>
    <w:p w:rsidR="00584563" w:rsidRDefault="00584563" w:rsidP="00584563">
      <w:pPr>
        <w:pStyle w:val="Zkladntext41"/>
        <w:shd w:val="clear" w:color="auto" w:fill="auto"/>
        <w:spacing w:after="346" w:line="210" w:lineRule="exact"/>
        <w:ind w:left="60"/>
        <w:jc w:val="both"/>
        <w:rPr>
          <w:rFonts w:cs="Times New Roman"/>
          <w:b w:val="0"/>
          <w:bCs w:val="0"/>
          <w:color w:val="FF0000"/>
          <w:sz w:val="20"/>
          <w:szCs w:val="20"/>
        </w:rPr>
      </w:pPr>
    </w:p>
    <w:p w:rsidR="00584563" w:rsidRDefault="009C4935" w:rsidP="00584563">
      <w:pPr>
        <w:rPr>
          <w:rFonts w:ascii="Arial" w:hAnsi="Arial" w:cs="Arial"/>
        </w:rPr>
      </w:pPr>
      <w:r>
        <w:rPr>
          <w:rFonts w:ascii="Arial" w:hAnsi="Arial" w:cs="Arial"/>
        </w:rPr>
        <w:t>V Hrušovanech</w:t>
      </w:r>
      <w:r w:rsidR="00584563">
        <w:rPr>
          <w:rFonts w:ascii="Arial" w:hAnsi="Arial" w:cs="Arial"/>
        </w:rPr>
        <w:t>: 7. 6. 2021</w:t>
      </w:r>
    </w:p>
    <w:p w:rsidR="00584563" w:rsidRDefault="00584563" w:rsidP="00584563">
      <w:pPr>
        <w:rPr>
          <w:rFonts w:ascii="Arial" w:hAnsi="Arial" w:cs="Arial"/>
        </w:rPr>
      </w:pPr>
    </w:p>
    <w:p w:rsidR="00584563" w:rsidRDefault="00584563" w:rsidP="00584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Petr Šmíd</w:t>
      </w:r>
    </w:p>
    <w:p w:rsidR="00584563" w:rsidRPr="00584563" w:rsidRDefault="00584563" w:rsidP="00584563">
      <w:pPr>
        <w:ind w:left="5760" w:firstLine="720"/>
        <w:rPr>
          <w:rFonts w:ascii="Arial" w:hAnsi="Arial" w:cs="Arial"/>
        </w:rPr>
        <w:sectPr w:rsidR="00584563" w:rsidRPr="00584563">
          <w:type w:val="continuous"/>
          <w:pgSz w:w="11903" w:h="16833"/>
          <w:pgMar w:top="566" w:right="566" w:bottom="850" w:left="566" w:header="708" w:footer="708" w:gutter="0"/>
          <w:cols w:space="708"/>
        </w:sectPr>
      </w:pPr>
      <w:r>
        <w:rPr>
          <w:rFonts w:ascii="Arial" w:hAnsi="Arial" w:cs="Arial"/>
        </w:rPr>
        <w:t xml:space="preserve">         předseda </w:t>
      </w:r>
      <w:r w:rsidR="00D33ABC">
        <w:rPr>
          <w:rFonts w:ascii="Arial" w:hAnsi="Arial" w:cs="Arial"/>
        </w:rPr>
        <w:t>svaz</w:t>
      </w:r>
      <w:r w:rsidR="00B218FF">
        <w:rPr>
          <w:rFonts w:ascii="Arial" w:hAnsi="Arial" w:cs="Arial"/>
        </w:rPr>
        <w:t>ku</w:t>
      </w:r>
    </w:p>
    <w:p w:rsidR="0064715B" w:rsidRPr="00F47714" w:rsidRDefault="0064715B" w:rsidP="00F47714"/>
    <w:sectPr w:rsidR="0064715B" w:rsidRPr="00F47714" w:rsidSect="00B2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CF9"/>
    <w:multiLevelType w:val="hybridMultilevel"/>
    <w:tmpl w:val="ADC63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0E30"/>
    <w:multiLevelType w:val="hybridMultilevel"/>
    <w:tmpl w:val="FDC65A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4B69A4"/>
    <w:multiLevelType w:val="hybridMultilevel"/>
    <w:tmpl w:val="FC588520"/>
    <w:lvl w:ilvl="0" w:tplc="D0780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FE3"/>
    <w:multiLevelType w:val="hybridMultilevel"/>
    <w:tmpl w:val="BE5EBE2E"/>
    <w:lvl w:ilvl="0" w:tplc="795E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78BF"/>
    <w:multiLevelType w:val="hybridMultilevel"/>
    <w:tmpl w:val="7A487ED4"/>
    <w:lvl w:ilvl="0" w:tplc="AD2ACF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4B27"/>
    <w:multiLevelType w:val="hybridMultilevel"/>
    <w:tmpl w:val="C00C1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509D5"/>
    <w:multiLevelType w:val="hybridMultilevel"/>
    <w:tmpl w:val="39B09E7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E5357"/>
    <w:rsid w:val="00036F64"/>
    <w:rsid w:val="00047707"/>
    <w:rsid w:val="000840D0"/>
    <w:rsid w:val="00093514"/>
    <w:rsid w:val="00093733"/>
    <w:rsid w:val="00094EB7"/>
    <w:rsid w:val="000956D7"/>
    <w:rsid w:val="000A6671"/>
    <w:rsid w:val="000B4A00"/>
    <w:rsid w:val="000B573C"/>
    <w:rsid w:val="000C5EE4"/>
    <w:rsid w:val="00123E9E"/>
    <w:rsid w:val="0014034D"/>
    <w:rsid w:val="00146A87"/>
    <w:rsid w:val="00166F18"/>
    <w:rsid w:val="00180580"/>
    <w:rsid w:val="00193249"/>
    <w:rsid w:val="001B64DE"/>
    <w:rsid w:val="001C048A"/>
    <w:rsid w:val="001C1D06"/>
    <w:rsid w:val="001C2CA2"/>
    <w:rsid w:val="001D4C4E"/>
    <w:rsid w:val="00260F7E"/>
    <w:rsid w:val="00282D71"/>
    <w:rsid w:val="002B3B9D"/>
    <w:rsid w:val="002C4774"/>
    <w:rsid w:val="002D542B"/>
    <w:rsid w:val="002E59B7"/>
    <w:rsid w:val="002E5AA8"/>
    <w:rsid w:val="00302133"/>
    <w:rsid w:val="0032111D"/>
    <w:rsid w:val="00332BED"/>
    <w:rsid w:val="00334D2D"/>
    <w:rsid w:val="003403A2"/>
    <w:rsid w:val="00356DB8"/>
    <w:rsid w:val="00372ECE"/>
    <w:rsid w:val="00391D8C"/>
    <w:rsid w:val="0039380A"/>
    <w:rsid w:val="003D0473"/>
    <w:rsid w:val="003E5357"/>
    <w:rsid w:val="003E537F"/>
    <w:rsid w:val="00404418"/>
    <w:rsid w:val="0042063A"/>
    <w:rsid w:val="00450BAD"/>
    <w:rsid w:val="00482D3C"/>
    <w:rsid w:val="004909E7"/>
    <w:rsid w:val="00493946"/>
    <w:rsid w:val="004A2952"/>
    <w:rsid w:val="004A4267"/>
    <w:rsid w:val="004B54ED"/>
    <w:rsid w:val="004C444D"/>
    <w:rsid w:val="004D18DD"/>
    <w:rsid w:val="004F4EFD"/>
    <w:rsid w:val="005272BE"/>
    <w:rsid w:val="00552CC1"/>
    <w:rsid w:val="0055758A"/>
    <w:rsid w:val="00583B11"/>
    <w:rsid w:val="00584563"/>
    <w:rsid w:val="0059304F"/>
    <w:rsid w:val="005935F8"/>
    <w:rsid w:val="00600433"/>
    <w:rsid w:val="0064715B"/>
    <w:rsid w:val="00666879"/>
    <w:rsid w:val="00673237"/>
    <w:rsid w:val="00685230"/>
    <w:rsid w:val="006B7517"/>
    <w:rsid w:val="006C217E"/>
    <w:rsid w:val="006C5517"/>
    <w:rsid w:val="006C5683"/>
    <w:rsid w:val="006E5E96"/>
    <w:rsid w:val="00733880"/>
    <w:rsid w:val="00744934"/>
    <w:rsid w:val="0074497D"/>
    <w:rsid w:val="007910E2"/>
    <w:rsid w:val="0079116C"/>
    <w:rsid w:val="00792075"/>
    <w:rsid w:val="007B0ADA"/>
    <w:rsid w:val="007B501E"/>
    <w:rsid w:val="00805F72"/>
    <w:rsid w:val="00807007"/>
    <w:rsid w:val="008221F0"/>
    <w:rsid w:val="0082320E"/>
    <w:rsid w:val="00832B6B"/>
    <w:rsid w:val="0084647E"/>
    <w:rsid w:val="00847180"/>
    <w:rsid w:val="00886B77"/>
    <w:rsid w:val="00887727"/>
    <w:rsid w:val="008917AD"/>
    <w:rsid w:val="008B0EF2"/>
    <w:rsid w:val="008D745A"/>
    <w:rsid w:val="00910DD1"/>
    <w:rsid w:val="00911E87"/>
    <w:rsid w:val="009216BE"/>
    <w:rsid w:val="009217E7"/>
    <w:rsid w:val="00940CB1"/>
    <w:rsid w:val="00975DFF"/>
    <w:rsid w:val="00977E47"/>
    <w:rsid w:val="009A06BE"/>
    <w:rsid w:val="009C4935"/>
    <w:rsid w:val="009C4936"/>
    <w:rsid w:val="009E4B02"/>
    <w:rsid w:val="009E5BE3"/>
    <w:rsid w:val="009F2372"/>
    <w:rsid w:val="00A134B9"/>
    <w:rsid w:val="00A13598"/>
    <w:rsid w:val="00A20652"/>
    <w:rsid w:val="00A30A4A"/>
    <w:rsid w:val="00A504A8"/>
    <w:rsid w:val="00A51B7F"/>
    <w:rsid w:val="00A668BB"/>
    <w:rsid w:val="00A811DE"/>
    <w:rsid w:val="00A81E84"/>
    <w:rsid w:val="00A87F04"/>
    <w:rsid w:val="00AB2A06"/>
    <w:rsid w:val="00AC541A"/>
    <w:rsid w:val="00AF4347"/>
    <w:rsid w:val="00B218FF"/>
    <w:rsid w:val="00B25153"/>
    <w:rsid w:val="00B44829"/>
    <w:rsid w:val="00B619ED"/>
    <w:rsid w:val="00B62BFE"/>
    <w:rsid w:val="00B91C49"/>
    <w:rsid w:val="00BA4479"/>
    <w:rsid w:val="00BA4D12"/>
    <w:rsid w:val="00BC2164"/>
    <w:rsid w:val="00BC40F3"/>
    <w:rsid w:val="00BE64E8"/>
    <w:rsid w:val="00C004A7"/>
    <w:rsid w:val="00C13246"/>
    <w:rsid w:val="00C52BFE"/>
    <w:rsid w:val="00C63F30"/>
    <w:rsid w:val="00C908D3"/>
    <w:rsid w:val="00C93430"/>
    <w:rsid w:val="00CE1B7A"/>
    <w:rsid w:val="00CE3491"/>
    <w:rsid w:val="00CE6807"/>
    <w:rsid w:val="00D33ABC"/>
    <w:rsid w:val="00D742DD"/>
    <w:rsid w:val="00DB22DC"/>
    <w:rsid w:val="00DB6E7C"/>
    <w:rsid w:val="00DC70A4"/>
    <w:rsid w:val="00DD33C3"/>
    <w:rsid w:val="00DE06E9"/>
    <w:rsid w:val="00E01CAC"/>
    <w:rsid w:val="00E41A9F"/>
    <w:rsid w:val="00E830DD"/>
    <w:rsid w:val="00E95456"/>
    <w:rsid w:val="00EB0458"/>
    <w:rsid w:val="00EB2D65"/>
    <w:rsid w:val="00EC2618"/>
    <w:rsid w:val="00EE7191"/>
    <w:rsid w:val="00EE7378"/>
    <w:rsid w:val="00EE7F8F"/>
    <w:rsid w:val="00F065ED"/>
    <w:rsid w:val="00F3001A"/>
    <w:rsid w:val="00F32965"/>
    <w:rsid w:val="00F47714"/>
    <w:rsid w:val="00F942FE"/>
    <w:rsid w:val="00FC4715"/>
    <w:rsid w:val="00FD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563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3880"/>
    <w:tblPr>
      <w:tblInd w:w="0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D745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E6807"/>
    <w:pPr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E6807"/>
    <w:rPr>
      <w:rFonts w:eastAsia="SimSun"/>
      <w:b/>
      <w:bCs/>
      <w:sz w:val="48"/>
      <w:szCs w:val="48"/>
    </w:rPr>
  </w:style>
  <w:style w:type="character" w:customStyle="1" w:styleId="Zkladntext2">
    <w:name w:val="Základní text (2)_"/>
    <w:link w:val="Zkladntext20"/>
    <w:locked/>
    <w:rsid w:val="00CE6807"/>
    <w:rPr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E6807"/>
    <w:pPr>
      <w:shd w:val="clear" w:color="auto" w:fill="FFFFFF"/>
      <w:spacing w:before="660" w:after="60" w:line="240" w:lineRule="atLeast"/>
    </w:pPr>
  </w:style>
  <w:style w:type="paragraph" w:styleId="Zkladntext21">
    <w:name w:val="Body Text 2"/>
    <w:basedOn w:val="Normln"/>
    <w:link w:val="Zkladntext2Char"/>
    <w:semiHidden/>
    <w:unhideWhenUsed/>
    <w:rsid w:val="009A06BE"/>
    <w:pPr>
      <w:spacing w:after="120"/>
      <w:ind w:left="283"/>
    </w:pPr>
  </w:style>
  <w:style w:type="character" w:customStyle="1" w:styleId="Zkladntext2Char">
    <w:name w:val="Základní text 2 Char"/>
    <w:basedOn w:val="Standardnpsmoodstavce"/>
    <w:link w:val="Zkladntext21"/>
    <w:semiHidden/>
    <w:rsid w:val="009A06BE"/>
    <w:rPr>
      <w:rFonts w:eastAsia="SimSun"/>
    </w:rPr>
  </w:style>
  <w:style w:type="character" w:customStyle="1" w:styleId="Zkladntext4">
    <w:name w:val="Základní text (4)_"/>
    <w:link w:val="Zkladntext41"/>
    <w:locked/>
    <w:rsid w:val="008221F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rsid w:val="008221F0"/>
    <w:pPr>
      <w:widowControl/>
      <w:shd w:val="clear" w:color="auto" w:fill="FFFFFF"/>
      <w:autoSpaceDE/>
      <w:autoSpaceDN/>
      <w:adjustRightInd/>
      <w:spacing w:after="720" w:line="274" w:lineRule="exact"/>
      <w:jc w:val="center"/>
    </w:pPr>
    <w:rPr>
      <w:rFonts w:ascii="Arial" w:eastAsia="Times New Roman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83BC-32D1-477D-998D-ACDC6D0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ÚČET  OBCE  HRUŠOVANY  ZA  ROK  2006</vt:lpstr>
    </vt:vector>
  </TitlesOfParts>
  <Company>ATC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ÚČET  OBCE  HRUŠOVANY  ZA  ROK  2006</dc:title>
  <dc:creator>ComFor</dc:creator>
  <cp:lastModifiedBy>Obec Bilence</cp:lastModifiedBy>
  <cp:revision>2</cp:revision>
  <cp:lastPrinted>2012-05-14T10:37:00Z</cp:lastPrinted>
  <dcterms:created xsi:type="dcterms:W3CDTF">2021-06-08T06:09:00Z</dcterms:created>
  <dcterms:modified xsi:type="dcterms:W3CDTF">2021-06-08T06:09:00Z</dcterms:modified>
</cp:coreProperties>
</file>